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22BE" w14:textId="5BD7CF21" w:rsidR="00A0183E" w:rsidRDefault="00A0183E" w:rsidP="00A0183E">
      <w:pPr>
        <w:jc w:val="right"/>
        <w:rPr>
          <w:rFonts w:ascii="Arial" w:hAnsi="Arial" w:cs="Arial"/>
          <w:b/>
          <w:bCs/>
          <w:sz w:val="24"/>
          <w:szCs w:val="24"/>
        </w:rPr>
      </w:pPr>
      <w:r>
        <w:rPr>
          <w:rFonts w:ascii="Arial" w:hAnsi="Arial" w:cs="Arial"/>
          <w:b/>
          <w:bCs/>
          <w:sz w:val="24"/>
          <w:szCs w:val="24"/>
        </w:rPr>
        <w:t>Appendix I</w:t>
      </w:r>
      <w:r w:rsidR="00257452">
        <w:rPr>
          <w:rFonts w:ascii="Arial" w:hAnsi="Arial" w:cs="Arial"/>
          <w:b/>
          <w:bCs/>
          <w:sz w:val="24"/>
          <w:szCs w:val="24"/>
        </w:rPr>
        <w:t>I</w:t>
      </w:r>
    </w:p>
    <w:p w14:paraId="788D5F15" w14:textId="6245685B" w:rsidR="00EB15E2" w:rsidRPr="00F31B80" w:rsidRDefault="00F31B80">
      <w:pPr>
        <w:rPr>
          <w:rFonts w:ascii="Arial" w:hAnsi="Arial" w:cs="Arial"/>
          <w:b/>
          <w:bCs/>
          <w:sz w:val="24"/>
          <w:szCs w:val="24"/>
        </w:rPr>
      </w:pPr>
      <w:r w:rsidRPr="00F31B80">
        <w:rPr>
          <w:rFonts w:ascii="Arial" w:hAnsi="Arial" w:cs="Arial"/>
          <w:b/>
          <w:bCs/>
          <w:sz w:val="24"/>
          <w:szCs w:val="24"/>
        </w:rPr>
        <w:t>Waste &amp; Street Cleansing Scrutiny Review</w:t>
      </w:r>
      <w:r w:rsidR="00CE74AD">
        <w:rPr>
          <w:rFonts w:ascii="Arial" w:hAnsi="Arial" w:cs="Arial"/>
          <w:b/>
          <w:bCs/>
          <w:sz w:val="24"/>
          <w:szCs w:val="24"/>
        </w:rPr>
        <w:t xml:space="preserve"> - </w:t>
      </w:r>
      <w:r w:rsidRPr="00F31B80">
        <w:rPr>
          <w:rFonts w:ascii="Arial" w:hAnsi="Arial" w:cs="Arial"/>
          <w:b/>
          <w:bCs/>
          <w:sz w:val="24"/>
          <w:szCs w:val="24"/>
        </w:rPr>
        <w:t>Summary of Recommendations:</w:t>
      </w:r>
    </w:p>
    <w:tbl>
      <w:tblPr>
        <w:tblStyle w:val="TableGrid"/>
        <w:tblW w:w="0" w:type="auto"/>
        <w:tblLook w:val="04A0" w:firstRow="1" w:lastRow="0" w:firstColumn="1" w:lastColumn="0" w:noHBand="0" w:noVBand="1"/>
      </w:tblPr>
      <w:tblGrid>
        <w:gridCol w:w="1271"/>
        <w:gridCol w:w="7655"/>
      </w:tblGrid>
      <w:tr w:rsidR="00A0183E" w14:paraId="799663BB" w14:textId="77777777" w:rsidTr="00CE74AD">
        <w:trPr>
          <w:cantSplit/>
          <w:trHeight w:val="534"/>
        </w:trPr>
        <w:tc>
          <w:tcPr>
            <w:tcW w:w="1271" w:type="dxa"/>
            <w:shd w:val="clear" w:color="auto" w:fill="A6A6A6" w:themeFill="background1" w:themeFillShade="A6"/>
          </w:tcPr>
          <w:p w14:paraId="1E192DB7" w14:textId="7BA95411" w:rsidR="00A0183E" w:rsidRDefault="00CE74AD" w:rsidP="00A0183E">
            <w:pPr>
              <w:rPr>
                <w:rFonts w:ascii="Arial" w:hAnsi="Arial" w:cs="Arial"/>
                <w:sz w:val="24"/>
                <w:szCs w:val="24"/>
              </w:rPr>
            </w:pPr>
            <w:r>
              <w:rPr>
                <w:rFonts w:ascii="Arial" w:hAnsi="Arial" w:cs="Arial"/>
                <w:sz w:val="24"/>
                <w:szCs w:val="24"/>
              </w:rPr>
              <w:t>N</w:t>
            </w:r>
            <w:r w:rsidR="00A0183E">
              <w:rPr>
                <w:rFonts w:ascii="Arial" w:hAnsi="Arial" w:cs="Arial"/>
                <w:sz w:val="24"/>
                <w:szCs w:val="24"/>
              </w:rPr>
              <w:t>umber</w:t>
            </w:r>
          </w:p>
        </w:tc>
        <w:tc>
          <w:tcPr>
            <w:tcW w:w="7655" w:type="dxa"/>
            <w:shd w:val="clear" w:color="auto" w:fill="A6A6A6" w:themeFill="background1" w:themeFillShade="A6"/>
          </w:tcPr>
          <w:p w14:paraId="64966B11" w14:textId="4468457D" w:rsidR="00A0183E" w:rsidRDefault="00A0183E">
            <w:pPr>
              <w:rPr>
                <w:rFonts w:ascii="Arial" w:hAnsi="Arial" w:cs="Arial"/>
                <w:sz w:val="24"/>
                <w:szCs w:val="24"/>
              </w:rPr>
            </w:pPr>
            <w:r>
              <w:rPr>
                <w:rFonts w:ascii="Arial" w:hAnsi="Arial" w:cs="Arial"/>
                <w:sz w:val="24"/>
                <w:szCs w:val="24"/>
              </w:rPr>
              <w:t>Recommendation</w:t>
            </w:r>
          </w:p>
        </w:tc>
      </w:tr>
      <w:tr w:rsidR="00A0183E" w14:paraId="79E03066" w14:textId="77777777" w:rsidTr="00CE74AD">
        <w:tc>
          <w:tcPr>
            <w:tcW w:w="1271" w:type="dxa"/>
          </w:tcPr>
          <w:p w14:paraId="3BFC96E7" w14:textId="078C6BC4" w:rsidR="00A0183E" w:rsidRDefault="00A0183E">
            <w:pPr>
              <w:rPr>
                <w:rFonts w:ascii="Arial" w:hAnsi="Arial" w:cs="Arial"/>
                <w:sz w:val="24"/>
                <w:szCs w:val="24"/>
              </w:rPr>
            </w:pPr>
            <w:r>
              <w:rPr>
                <w:rFonts w:ascii="Arial" w:hAnsi="Arial" w:cs="Arial"/>
                <w:sz w:val="24"/>
                <w:szCs w:val="24"/>
              </w:rPr>
              <w:t>1</w:t>
            </w:r>
          </w:p>
        </w:tc>
        <w:tc>
          <w:tcPr>
            <w:tcW w:w="7655" w:type="dxa"/>
          </w:tcPr>
          <w:p w14:paraId="7AD15FB3" w14:textId="77777777" w:rsidR="00A0183E" w:rsidRDefault="00A0183E">
            <w:pPr>
              <w:rPr>
                <w:rFonts w:ascii="Arial" w:hAnsi="Arial" w:cs="Arial"/>
                <w:sz w:val="24"/>
                <w:szCs w:val="24"/>
              </w:rPr>
            </w:pPr>
            <w:r w:rsidRPr="001D39BF">
              <w:rPr>
                <w:rFonts w:ascii="Arial" w:hAnsi="Arial" w:cs="Arial"/>
                <w:sz w:val="24"/>
                <w:szCs w:val="24"/>
              </w:rPr>
              <w:t>TUPE information should be provided earlier in the tender process (as far as permitted by legislation) in future projects.</w:t>
            </w:r>
          </w:p>
          <w:p w14:paraId="768C27CF" w14:textId="00412582" w:rsidR="00A0183E" w:rsidRDefault="00A0183E">
            <w:pPr>
              <w:rPr>
                <w:rFonts w:ascii="Arial" w:hAnsi="Arial" w:cs="Arial"/>
                <w:sz w:val="24"/>
                <w:szCs w:val="24"/>
              </w:rPr>
            </w:pPr>
          </w:p>
        </w:tc>
      </w:tr>
      <w:tr w:rsidR="00A0183E" w14:paraId="2DC7FDE2" w14:textId="77777777" w:rsidTr="00CE74AD">
        <w:tc>
          <w:tcPr>
            <w:tcW w:w="1271" w:type="dxa"/>
          </w:tcPr>
          <w:p w14:paraId="06CE31E2" w14:textId="310EEB50" w:rsidR="00A0183E" w:rsidRDefault="00A0183E">
            <w:pPr>
              <w:rPr>
                <w:rFonts w:ascii="Arial" w:hAnsi="Arial" w:cs="Arial"/>
                <w:sz w:val="24"/>
                <w:szCs w:val="24"/>
              </w:rPr>
            </w:pPr>
            <w:r>
              <w:rPr>
                <w:rFonts w:ascii="Arial" w:hAnsi="Arial" w:cs="Arial"/>
                <w:sz w:val="24"/>
                <w:szCs w:val="24"/>
              </w:rPr>
              <w:t>2</w:t>
            </w:r>
          </w:p>
        </w:tc>
        <w:tc>
          <w:tcPr>
            <w:tcW w:w="7655" w:type="dxa"/>
          </w:tcPr>
          <w:p w14:paraId="43C20EA1" w14:textId="77777777" w:rsidR="00A0183E" w:rsidRDefault="00A0183E">
            <w:pPr>
              <w:rPr>
                <w:rFonts w:ascii="Arial" w:hAnsi="Arial" w:cs="Arial"/>
                <w:sz w:val="24"/>
                <w:szCs w:val="24"/>
              </w:rPr>
            </w:pPr>
            <w:bookmarkStart w:id="0" w:name="_Hlk184119998"/>
            <w:r w:rsidRPr="001D39BF">
              <w:rPr>
                <w:rFonts w:ascii="Arial" w:hAnsi="Arial" w:cs="Arial"/>
                <w:sz w:val="24"/>
                <w:szCs w:val="24"/>
              </w:rPr>
              <w:t>Training for contracted staff prior to the new service is essential</w:t>
            </w:r>
            <w:r>
              <w:rPr>
                <w:rFonts w:ascii="Arial" w:hAnsi="Arial" w:cs="Arial"/>
                <w:sz w:val="24"/>
                <w:szCs w:val="24"/>
              </w:rPr>
              <w:t xml:space="preserve"> to ensure a smooth transition. Where possible</w:t>
            </w:r>
            <w:r w:rsidRPr="00F31B80">
              <w:rPr>
                <w:rFonts w:ascii="Arial" w:hAnsi="Arial" w:cs="Arial"/>
                <w:sz w:val="24"/>
                <w:szCs w:val="24"/>
              </w:rPr>
              <w:t xml:space="preserve"> us</w:t>
            </w:r>
            <w:r>
              <w:rPr>
                <w:rFonts w:ascii="Arial" w:hAnsi="Arial" w:cs="Arial"/>
                <w:sz w:val="24"/>
                <w:szCs w:val="24"/>
              </w:rPr>
              <w:t>e</w:t>
            </w:r>
            <w:r w:rsidRPr="00F31B80">
              <w:rPr>
                <w:rFonts w:ascii="Arial" w:hAnsi="Arial" w:cs="Arial"/>
                <w:sz w:val="24"/>
                <w:szCs w:val="24"/>
              </w:rPr>
              <w:t xml:space="preserve"> a phased approach</w:t>
            </w:r>
            <w:r>
              <w:rPr>
                <w:rFonts w:ascii="Arial" w:hAnsi="Arial" w:cs="Arial"/>
                <w:sz w:val="24"/>
                <w:szCs w:val="24"/>
              </w:rPr>
              <w:t xml:space="preserve"> for training</w:t>
            </w:r>
            <w:r w:rsidRPr="00F31B80">
              <w:rPr>
                <w:rFonts w:ascii="Arial" w:hAnsi="Arial" w:cs="Arial"/>
                <w:sz w:val="24"/>
                <w:szCs w:val="24"/>
              </w:rPr>
              <w:t xml:space="preserve"> to minimise service disruption.</w:t>
            </w:r>
            <w:bookmarkEnd w:id="0"/>
          </w:p>
          <w:p w14:paraId="048CEF61" w14:textId="3767E5A4" w:rsidR="00A0183E" w:rsidRDefault="00A0183E">
            <w:pPr>
              <w:rPr>
                <w:rFonts w:ascii="Arial" w:hAnsi="Arial" w:cs="Arial"/>
                <w:sz w:val="24"/>
                <w:szCs w:val="24"/>
              </w:rPr>
            </w:pPr>
          </w:p>
        </w:tc>
      </w:tr>
      <w:tr w:rsidR="00A0183E" w14:paraId="4FD66A26" w14:textId="77777777" w:rsidTr="00CE74AD">
        <w:tc>
          <w:tcPr>
            <w:tcW w:w="1271" w:type="dxa"/>
          </w:tcPr>
          <w:p w14:paraId="058B469B" w14:textId="24661CE1" w:rsidR="00A0183E" w:rsidRDefault="00A0183E">
            <w:pPr>
              <w:rPr>
                <w:rFonts w:ascii="Arial" w:hAnsi="Arial" w:cs="Arial"/>
                <w:sz w:val="24"/>
                <w:szCs w:val="24"/>
              </w:rPr>
            </w:pPr>
            <w:r>
              <w:rPr>
                <w:rFonts w:ascii="Arial" w:hAnsi="Arial" w:cs="Arial"/>
                <w:sz w:val="24"/>
                <w:szCs w:val="24"/>
              </w:rPr>
              <w:t>3</w:t>
            </w:r>
          </w:p>
        </w:tc>
        <w:tc>
          <w:tcPr>
            <w:tcW w:w="7655" w:type="dxa"/>
          </w:tcPr>
          <w:p w14:paraId="5B51FAFA" w14:textId="38F0ABB9" w:rsidR="00A0183E" w:rsidRDefault="00A0183E">
            <w:pPr>
              <w:rPr>
                <w:rFonts w:ascii="Arial" w:hAnsi="Arial" w:cs="Arial"/>
                <w:sz w:val="24"/>
                <w:szCs w:val="24"/>
              </w:rPr>
            </w:pPr>
            <w:r w:rsidRPr="00A0183E">
              <w:rPr>
                <w:rFonts w:ascii="Arial" w:hAnsi="Arial" w:cs="Arial"/>
                <w:sz w:val="24"/>
                <w:szCs w:val="24"/>
              </w:rPr>
              <w:t>Where relevant, the council should request that the contractor considers the use of personal safety cameras for their operatives if they are not explicitly mentioned in a bid</w:t>
            </w:r>
            <w:r w:rsidR="003B4FF2">
              <w:rPr>
                <w:rFonts w:ascii="Arial" w:hAnsi="Arial" w:cs="Arial"/>
                <w:sz w:val="24"/>
                <w:szCs w:val="24"/>
              </w:rPr>
              <w:t xml:space="preserve">, </w:t>
            </w:r>
            <w:proofErr w:type="gramStart"/>
            <w:r w:rsidR="003B4FF2" w:rsidRPr="003B4FF2">
              <w:rPr>
                <w:rFonts w:ascii="Arial" w:hAnsi="Arial" w:cs="Arial"/>
                <w:sz w:val="24"/>
                <w:szCs w:val="24"/>
              </w:rPr>
              <w:t>and also</w:t>
            </w:r>
            <w:proofErr w:type="gramEnd"/>
            <w:r w:rsidR="003B4FF2" w:rsidRPr="003B4FF2">
              <w:rPr>
                <w:rFonts w:ascii="Arial" w:hAnsi="Arial" w:cs="Arial"/>
                <w:sz w:val="24"/>
                <w:szCs w:val="24"/>
              </w:rPr>
              <w:t xml:space="preserve"> that CCTV on vehicles should be operational from day one of the next contract</w:t>
            </w:r>
            <w:r w:rsidR="003B4FF2">
              <w:rPr>
                <w:rFonts w:ascii="Arial" w:hAnsi="Arial" w:cs="Arial"/>
                <w:sz w:val="24"/>
                <w:szCs w:val="24"/>
              </w:rPr>
              <w:t>.</w:t>
            </w:r>
          </w:p>
          <w:p w14:paraId="7E3EF1FD" w14:textId="52C44B60" w:rsidR="00A0183E" w:rsidRDefault="00A0183E">
            <w:pPr>
              <w:rPr>
                <w:rFonts w:ascii="Arial" w:hAnsi="Arial" w:cs="Arial"/>
                <w:sz w:val="24"/>
                <w:szCs w:val="24"/>
              </w:rPr>
            </w:pPr>
          </w:p>
        </w:tc>
      </w:tr>
      <w:tr w:rsidR="00A0183E" w14:paraId="4E650DAF" w14:textId="77777777" w:rsidTr="00CE74AD">
        <w:tc>
          <w:tcPr>
            <w:tcW w:w="1271" w:type="dxa"/>
          </w:tcPr>
          <w:p w14:paraId="332BE2AB" w14:textId="7C6E9BC8" w:rsidR="00A0183E" w:rsidRDefault="00A0183E">
            <w:pPr>
              <w:rPr>
                <w:rFonts w:ascii="Arial" w:hAnsi="Arial" w:cs="Arial"/>
                <w:sz w:val="24"/>
                <w:szCs w:val="24"/>
              </w:rPr>
            </w:pPr>
            <w:r>
              <w:rPr>
                <w:rFonts w:ascii="Arial" w:hAnsi="Arial" w:cs="Arial"/>
                <w:sz w:val="24"/>
                <w:szCs w:val="24"/>
              </w:rPr>
              <w:t>4</w:t>
            </w:r>
          </w:p>
        </w:tc>
        <w:tc>
          <w:tcPr>
            <w:tcW w:w="7655" w:type="dxa"/>
          </w:tcPr>
          <w:p w14:paraId="3292E6B3" w14:textId="77777777" w:rsidR="00A0183E" w:rsidRDefault="00A0183E">
            <w:pPr>
              <w:rPr>
                <w:rFonts w:ascii="Arial" w:hAnsi="Arial" w:cs="Arial"/>
                <w:sz w:val="24"/>
                <w:szCs w:val="24"/>
              </w:rPr>
            </w:pPr>
            <w:r>
              <w:rPr>
                <w:rFonts w:ascii="Arial" w:hAnsi="Arial" w:cs="Arial"/>
                <w:sz w:val="24"/>
                <w:szCs w:val="24"/>
              </w:rPr>
              <w:t>F</w:t>
            </w:r>
            <w:r w:rsidRPr="00F31B80">
              <w:rPr>
                <w:rFonts w:ascii="Arial" w:hAnsi="Arial" w:cs="Arial"/>
                <w:sz w:val="24"/>
                <w:szCs w:val="24"/>
              </w:rPr>
              <w:t xml:space="preserve">or future project implementation where there will be a change to a service, ensure there is </w:t>
            </w:r>
            <w:r>
              <w:rPr>
                <w:rFonts w:ascii="Arial" w:hAnsi="Arial" w:cs="Arial"/>
                <w:sz w:val="24"/>
                <w:szCs w:val="24"/>
              </w:rPr>
              <w:t>adequate</w:t>
            </w:r>
            <w:r w:rsidRPr="00F31B80">
              <w:rPr>
                <w:rFonts w:ascii="Arial" w:hAnsi="Arial" w:cs="Arial"/>
                <w:sz w:val="24"/>
                <w:szCs w:val="24"/>
              </w:rPr>
              <w:t xml:space="preserve"> staff resource in place to deal with potentially high levels of incoming queries.</w:t>
            </w:r>
          </w:p>
          <w:p w14:paraId="1D4DD806" w14:textId="36A72B2A" w:rsidR="00A0183E" w:rsidRDefault="00A0183E">
            <w:pPr>
              <w:rPr>
                <w:rFonts w:ascii="Arial" w:hAnsi="Arial" w:cs="Arial"/>
                <w:sz w:val="24"/>
                <w:szCs w:val="24"/>
              </w:rPr>
            </w:pPr>
          </w:p>
        </w:tc>
      </w:tr>
      <w:tr w:rsidR="00A0183E" w14:paraId="34A5BA4C" w14:textId="77777777" w:rsidTr="00CE74AD">
        <w:tc>
          <w:tcPr>
            <w:tcW w:w="1271" w:type="dxa"/>
          </w:tcPr>
          <w:p w14:paraId="5C53D9DC" w14:textId="3A5B42C4" w:rsidR="00A0183E" w:rsidRDefault="00A0183E">
            <w:pPr>
              <w:rPr>
                <w:rFonts w:ascii="Arial" w:hAnsi="Arial" w:cs="Arial"/>
                <w:sz w:val="24"/>
                <w:szCs w:val="24"/>
              </w:rPr>
            </w:pPr>
            <w:r>
              <w:rPr>
                <w:rFonts w:ascii="Arial" w:hAnsi="Arial" w:cs="Arial"/>
                <w:sz w:val="24"/>
                <w:szCs w:val="24"/>
              </w:rPr>
              <w:t>5</w:t>
            </w:r>
          </w:p>
        </w:tc>
        <w:tc>
          <w:tcPr>
            <w:tcW w:w="7655" w:type="dxa"/>
          </w:tcPr>
          <w:p w14:paraId="1B6754D0" w14:textId="77777777" w:rsidR="00A0183E" w:rsidRDefault="00A0183E">
            <w:pPr>
              <w:rPr>
                <w:rFonts w:ascii="Arial" w:hAnsi="Arial" w:cs="Arial"/>
                <w:sz w:val="24"/>
                <w:szCs w:val="24"/>
              </w:rPr>
            </w:pPr>
            <w:bookmarkStart w:id="1" w:name="_Hlk184120145"/>
            <w:r>
              <w:rPr>
                <w:rFonts w:ascii="Arial" w:hAnsi="Arial" w:cs="Arial"/>
                <w:sz w:val="24"/>
                <w:szCs w:val="24"/>
              </w:rPr>
              <w:t>E</w:t>
            </w:r>
            <w:r w:rsidRPr="00F31B80">
              <w:rPr>
                <w:rFonts w:ascii="Arial" w:hAnsi="Arial" w:cs="Arial"/>
                <w:sz w:val="24"/>
                <w:szCs w:val="24"/>
              </w:rPr>
              <w:t>nsure</w:t>
            </w:r>
            <w:r>
              <w:rPr>
                <w:rFonts w:ascii="Arial" w:hAnsi="Arial" w:cs="Arial"/>
                <w:sz w:val="24"/>
                <w:szCs w:val="24"/>
              </w:rPr>
              <w:t xml:space="preserve"> the appropriate skills are in place</w:t>
            </w:r>
            <w:r w:rsidRPr="00F31B80">
              <w:rPr>
                <w:rFonts w:ascii="Arial" w:hAnsi="Arial" w:cs="Arial"/>
                <w:sz w:val="24"/>
                <w:szCs w:val="24"/>
              </w:rPr>
              <w:t xml:space="preserve"> at contract implementation.</w:t>
            </w:r>
            <w:bookmarkEnd w:id="1"/>
          </w:p>
          <w:p w14:paraId="129D3923" w14:textId="6CA8E6BE" w:rsidR="00A0183E" w:rsidRDefault="00A0183E">
            <w:pPr>
              <w:rPr>
                <w:rFonts w:ascii="Arial" w:hAnsi="Arial" w:cs="Arial"/>
                <w:sz w:val="24"/>
                <w:szCs w:val="24"/>
              </w:rPr>
            </w:pPr>
          </w:p>
        </w:tc>
      </w:tr>
      <w:tr w:rsidR="00A0183E" w14:paraId="72AD0BCC" w14:textId="77777777" w:rsidTr="00CE74AD">
        <w:tc>
          <w:tcPr>
            <w:tcW w:w="1271" w:type="dxa"/>
          </w:tcPr>
          <w:p w14:paraId="1826873E" w14:textId="5A1D1D76" w:rsidR="00A0183E" w:rsidRDefault="00A0183E">
            <w:pPr>
              <w:rPr>
                <w:rFonts w:ascii="Arial" w:hAnsi="Arial" w:cs="Arial"/>
                <w:sz w:val="24"/>
                <w:szCs w:val="24"/>
              </w:rPr>
            </w:pPr>
            <w:r>
              <w:rPr>
                <w:rFonts w:ascii="Arial" w:hAnsi="Arial" w:cs="Arial"/>
                <w:sz w:val="24"/>
                <w:szCs w:val="24"/>
              </w:rPr>
              <w:t>6</w:t>
            </w:r>
          </w:p>
        </w:tc>
        <w:tc>
          <w:tcPr>
            <w:tcW w:w="7655" w:type="dxa"/>
          </w:tcPr>
          <w:p w14:paraId="75E70C2E" w14:textId="77777777" w:rsidR="00A0183E" w:rsidRDefault="00A0183E">
            <w:pPr>
              <w:rPr>
                <w:rFonts w:ascii="Arial" w:hAnsi="Arial" w:cs="Arial"/>
                <w:sz w:val="24"/>
                <w:szCs w:val="24"/>
              </w:rPr>
            </w:pPr>
            <w:r>
              <w:rPr>
                <w:rFonts w:ascii="Arial" w:hAnsi="Arial" w:cs="Arial"/>
                <w:sz w:val="24"/>
                <w:szCs w:val="24"/>
              </w:rPr>
              <w:t>E</w:t>
            </w:r>
            <w:r w:rsidRPr="00A0183E">
              <w:rPr>
                <w:rFonts w:ascii="Arial" w:hAnsi="Arial" w:cs="Arial"/>
                <w:sz w:val="24"/>
                <w:szCs w:val="24"/>
              </w:rPr>
              <w:t>nsure data is provided earlier, with agreed timescales, in the tender process and carry out checks to ensure it is correct.</w:t>
            </w:r>
          </w:p>
          <w:p w14:paraId="2A6EAB44" w14:textId="4E126F56" w:rsidR="00A0183E" w:rsidRDefault="00A0183E">
            <w:pPr>
              <w:rPr>
                <w:rFonts w:ascii="Arial" w:hAnsi="Arial" w:cs="Arial"/>
                <w:sz w:val="24"/>
                <w:szCs w:val="24"/>
              </w:rPr>
            </w:pPr>
          </w:p>
        </w:tc>
      </w:tr>
      <w:tr w:rsidR="00A0183E" w14:paraId="176336E2" w14:textId="77777777" w:rsidTr="00CE74AD">
        <w:tc>
          <w:tcPr>
            <w:tcW w:w="1271" w:type="dxa"/>
          </w:tcPr>
          <w:p w14:paraId="570232A9" w14:textId="2A0023EA" w:rsidR="00A0183E" w:rsidRDefault="00A0183E">
            <w:pPr>
              <w:rPr>
                <w:rFonts w:ascii="Arial" w:hAnsi="Arial" w:cs="Arial"/>
                <w:sz w:val="24"/>
                <w:szCs w:val="24"/>
              </w:rPr>
            </w:pPr>
            <w:r>
              <w:rPr>
                <w:rFonts w:ascii="Arial" w:hAnsi="Arial" w:cs="Arial"/>
                <w:sz w:val="24"/>
                <w:szCs w:val="24"/>
              </w:rPr>
              <w:t>7</w:t>
            </w:r>
          </w:p>
        </w:tc>
        <w:tc>
          <w:tcPr>
            <w:tcW w:w="7655" w:type="dxa"/>
          </w:tcPr>
          <w:p w14:paraId="64633491" w14:textId="5C979173" w:rsidR="00A0183E" w:rsidRPr="00907B01" w:rsidRDefault="00A0183E">
            <w:pPr>
              <w:rPr>
                <w:rFonts w:ascii="Arial" w:hAnsi="Arial" w:cs="Arial"/>
                <w:sz w:val="24"/>
                <w:szCs w:val="24"/>
              </w:rPr>
            </w:pPr>
            <w:bookmarkStart w:id="2" w:name="_Hlk184120281"/>
            <w:r w:rsidRPr="00907B01">
              <w:rPr>
                <w:rFonts w:ascii="Arial" w:hAnsi="Arial" w:cs="Arial"/>
                <w:sz w:val="24"/>
                <w:szCs w:val="24"/>
              </w:rPr>
              <w:t xml:space="preserve">The Contract and Resources team are consulted in the early stages of a planning application to ensure that estate design takes account of the ease and consistency of bin </w:t>
            </w:r>
            <w:proofErr w:type="gramStart"/>
            <w:r w:rsidRPr="00907B01">
              <w:rPr>
                <w:rFonts w:ascii="Arial" w:hAnsi="Arial" w:cs="Arial"/>
                <w:sz w:val="24"/>
                <w:szCs w:val="24"/>
              </w:rPr>
              <w:t>collections</w:t>
            </w:r>
            <w:proofErr w:type="gramEnd"/>
            <w:r w:rsidRPr="00907B01">
              <w:rPr>
                <w:rFonts w:ascii="Arial" w:hAnsi="Arial" w:cs="Arial"/>
                <w:sz w:val="24"/>
                <w:szCs w:val="24"/>
              </w:rPr>
              <w:t xml:space="preserve"> and that the accessibility of communal bin stores is assessed.</w:t>
            </w:r>
          </w:p>
          <w:bookmarkEnd w:id="2"/>
          <w:p w14:paraId="3EAD3F53" w14:textId="6636AF7F" w:rsidR="00A0183E" w:rsidRPr="00907B01" w:rsidRDefault="00A0183E">
            <w:pPr>
              <w:rPr>
                <w:rFonts w:ascii="Arial" w:hAnsi="Arial" w:cs="Arial"/>
                <w:sz w:val="24"/>
                <w:szCs w:val="24"/>
              </w:rPr>
            </w:pPr>
          </w:p>
        </w:tc>
      </w:tr>
      <w:tr w:rsidR="00A0183E" w14:paraId="592DF2E5" w14:textId="77777777" w:rsidTr="00CE74AD">
        <w:tc>
          <w:tcPr>
            <w:tcW w:w="1271" w:type="dxa"/>
          </w:tcPr>
          <w:p w14:paraId="61A4DA07" w14:textId="1CB9D719" w:rsidR="00A0183E" w:rsidRDefault="00A0183E">
            <w:pPr>
              <w:rPr>
                <w:rFonts w:ascii="Arial" w:hAnsi="Arial" w:cs="Arial"/>
                <w:sz w:val="24"/>
                <w:szCs w:val="24"/>
              </w:rPr>
            </w:pPr>
            <w:r>
              <w:rPr>
                <w:rFonts w:ascii="Arial" w:hAnsi="Arial" w:cs="Arial"/>
                <w:sz w:val="24"/>
                <w:szCs w:val="24"/>
              </w:rPr>
              <w:t>8</w:t>
            </w:r>
          </w:p>
        </w:tc>
        <w:tc>
          <w:tcPr>
            <w:tcW w:w="7655" w:type="dxa"/>
          </w:tcPr>
          <w:p w14:paraId="00BC94CB" w14:textId="77777777" w:rsidR="00A0183E" w:rsidRDefault="00A0183E">
            <w:pPr>
              <w:rPr>
                <w:rFonts w:ascii="Arial" w:hAnsi="Arial" w:cs="Arial"/>
                <w:sz w:val="24"/>
                <w:szCs w:val="24"/>
              </w:rPr>
            </w:pPr>
            <w:r>
              <w:rPr>
                <w:rFonts w:ascii="Arial" w:hAnsi="Arial" w:cs="Arial"/>
                <w:sz w:val="24"/>
                <w:szCs w:val="24"/>
              </w:rPr>
              <w:t>A</w:t>
            </w:r>
            <w:r w:rsidRPr="00A0183E">
              <w:rPr>
                <w:rFonts w:ascii="Arial" w:hAnsi="Arial" w:cs="Arial"/>
                <w:sz w:val="24"/>
                <w:szCs w:val="24"/>
              </w:rPr>
              <w:t>n annual review should be requested to ensure rounds do not become unmanageable over time due to new housing development.</w:t>
            </w:r>
          </w:p>
          <w:p w14:paraId="72A2589A" w14:textId="6AB11F8B" w:rsidR="00A0183E" w:rsidRDefault="00A0183E">
            <w:pPr>
              <w:rPr>
                <w:rFonts w:ascii="Arial" w:hAnsi="Arial" w:cs="Arial"/>
                <w:sz w:val="24"/>
                <w:szCs w:val="24"/>
              </w:rPr>
            </w:pPr>
          </w:p>
        </w:tc>
      </w:tr>
      <w:tr w:rsidR="00A0183E" w14:paraId="691422C8" w14:textId="77777777" w:rsidTr="00CE74AD">
        <w:tc>
          <w:tcPr>
            <w:tcW w:w="1271" w:type="dxa"/>
          </w:tcPr>
          <w:p w14:paraId="1D136747" w14:textId="024FDA18" w:rsidR="00A0183E" w:rsidRDefault="00A0183E" w:rsidP="008F18D7">
            <w:pPr>
              <w:rPr>
                <w:rFonts w:ascii="Arial" w:hAnsi="Arial" w:cs="Arial"/>
                <w:sz w:val="24"/>
                <w:szCs w:val="24"/>
              </w:rPr>
            </w:pPr>
            <w:r>
              <w:rPr>
                <w:rFonts w:ascii="Arial" w:hAnsi="Arial" w:cs="Arial"/>
                <w:sz w:val="24"/>
                <w:szCs w:val="24"/>
              </w:rPr>
              <w:t>9</w:t>
            </w:r>
          </w:p>
        </w:tc>
        <w:tc>
          <w:tcPr>
            <w:tcW w:w="7655" w:type="dxa"/>
          </w:tcPr>
          <w:p w14:paraId="17328FF7" w14:textId="77777777" w:rsidR="00A0183E" w:rsidRDefault="00A0183E" w:rsidP="008F18D7">
            <w:pPr>
              <w:rPr>
                <w:rFonts w:ascii="Arial" w:hAnsi="Arial" w:cs="Arial"/>
                <w:sz w:val="24"/>
                <w:szCs w:val="24"/>
              </w:rPr>
            </w:pPr>
            <w:r>
              <w:rPr>
                <w:rFonts w:ascii="Arial" w:hAnsi="Arial" w:cs="Arial"/>
                <w:sz w:val="24"/>
                <w:szCs w:val="24"/>
              </w:rPr>
              <w:t>R</w:t>
            </w:r>
            <w:r w:rsidRPr="00A0183E">
              <w:rPr>
                <w:rFonts w:ascii="Arial" w:hAnsi="Arial" w:cs="Arial"/>
                <w:sz w:val="24"/>
                <w:szCs w:val="24"/>
              </w:rPr>
              <w:t>eassess if Equality Impact Assessments (</w:t>
            </w:r>
            <w:proofErr w:type="spellStart"/>
            <w:r w:rsidRPr="00A0183E">
              <w:rPr>
                <w:rFonts w:ascii="Arial" w:hAnsi="Arial" w:cs="Arial"/>
                <w:sz w:val="24"/>
                <w:szCs w:val="24"/>
              </w:rPr>
              <w:t>EqIA</w:t>
            </w:r>
            <w:proofErr w:type="spellEnd"/>
            <w:r w:rsidRPr="00A0183E">
              <w:rPr>
                <w:rFonts w:ascii="Arial" w:hAnsi="Arial" w:cs="Arial"/>
                <w:sz w:val="24"/>
                <w:szCs w:val="24"/>
              </w:rPr>
              <w:t xml:space="preserve">) should be carried out at key points during tender preparation. If there are any significant changes to a contract or when unexpected problems arise, this should trigger the completion of an </w:t>
            </w:r>
            <w:proofErr w:type="spellStart"/>
            <w:r w:rsidRPr="00A0183E">
              <w:rPr>
                <w:rFonts w:ascii="Arial" w:hAnsi="Arial" w:cs="Arial"/>
                <w:sz w:val="24"/>
                <w:szCs w:val="24"/>
              </w:rPr>
              <w:t>EqIA</w:t>
            </w:r>
            <w:proofErr w:type="spellEnd"/>
            <w:r w:rsidRPr="00A0183E">
              <w:rPr>
                <w:rFonts w:ascii="Arial" w:hAnsi="Arial" w:cs="Arial"/>
                <w:sz w:val="24"/>
                <w:szCs w:val="24"/>
              </w:rPr>
              <w:t>.</w:t>
            </w:r>
          </w:p>
          <w:p w14:paraId="1269349D" w14:textId="316DCDFC" w:rsidR="00A0183E" w:rsidRDefault="00A0183E" w:rsidP="008F18D7">
            <w:pPr>
              <w:rPr>
                <w:rFonts w:ascii="Arial" w:hAnsi="Arial" w:cs="Arial"/>
                <w:sz w:val="24"/>
                <w:szCs w:val="24"/>
              </w:rPr>
            </w:pPr>
          </w:p>
        </w:tc>
      </w:tr>
      <w:tr w:rsidR="00A0183E" w14:paraId="47E3699C" w14:textId="77777777" w:rsidTr="00CE74AD">
        <w:tc>
          <w:tcPr>
            <w:tcW w:w="1271" w:type="dxa"/>
          </w:tcPr>
          <w:p w14:paraId="0A334DF4" w14:textId="45C0F7C7" w:rsidR="00A0183E" w:rsidRDefault="00A0183E" w:rsidP="008F18D7">
            <w:pPr>
              <w:rPr>
                <w:rFonts w:ascii="Arial" w:hAnsi="Arial" w:cs="Arial"/>
                <w:sz w:val="24"/>
                <w:szCs w:val="24"/>
              </w:rPr>
            </w:pPr>
            <w:r>
              <w:rPr>
                <w:rFonts w:ascii="Arial" w:hAnsi="Arial" w:cs="Arial"/>
                <w:sz w:val="24"/>
                <w:szCs w:val="24"/>
              </w:rPr>
              <w:t>10</w:t>
            </w:r>
          </w:p>
        </w:tc>
        <w:tc>
          <w:tcPr>
            <w:tcW w:w="7655" w:type="dxa"/>
          </w:tcPr>
          <w:p w14:paraId="6206CB82" w14:textId="77777777" w:rsidR="00A0183E" w:rsidRDefault="00A0183E" w:rsidP="008F18D7">
            <w:pPr>
              <w:rPr>
                <w:rFonts w:ascii="Arial" w:hAnsi="Arial" w:cs="Arial"/>
                <w:sz w:val="24"/>
                <w:szCs w:val="24"/>
              </w:rPr>
            </w:pPr>
            <w:r>
              <w:rPr>
                <w:rFonts w:ascii="Arial" w:hAnsi="Arial" w:cs="Arial"/>
                <w:sz w:val="24"/>
                <w:szCs w:val="24"/>
              </w:rPr>
              <w:t>L</w:t>
            </w:r>
            <w:r w:rsidRPr="00A0183E">
              <w:rPr>
                <w:rFonts w:ascii="Arial" w:hAnsi="Arial" w:cs="Arial"/>
                <w:sz w:val="24"/>
                <w:szCs w:val="24"/>
              </w:rPr>
              <w:t xml:space="preserve">ink </w:t>
            </w:r>
            <w:r>
              <w:rPr>
                <w:rFonts w:ascii="Arial" w:hAnsi="Arial" w:cs="Arial"/>
                <w:sz w:val="24"/>
                <w:szCs w:val="24"/>
              </w:rPr>
              <w:t>Contract Monitoring Officers (</w:t>
            </w:r>
            <w:r w:rsidRPr="00A0183E">
              <w:rPr>
                <w:rFonts w:ascii="Arial" w:hAnsi="Arial" w:cs="Arial"/>
                <w:sz w:val="24"/>
                <w:szCs w:val="24"/>
              </w:rPr>
              <w:t>CMO</w:t>
            </w:r>
            <w:r>
              <w:rPr>
                <w:rFonts w:ascii="Arial" w:hAnsi="Arial" w:cs="Arial"/>
                <w:sz w:val="24"/>
                <w:szCs w:val="24"/>
              </w:rPr>
              <w:t>s)</w:t>
            </w:r>
            <w:r w:rsidRPr="00A0183E">
              <w:rPr>
                <w:rFonts w:ascii="Arial" w:hAnsi="Arial" w:cs="Arial"/>
                <w:sz w:val="24"/>
                <w:szCs w:val="24"/>
              </w:rPr>
              <w:t xml:space="preserve"> to vulnerable properties better in times of disruption so that potential problems are identified quickly.</w:t>
            </w:r>
          </w:p>
          <w:p w14:paraId="62AAA75C" w14:textId="6B3E37C2" w:rsidR="00CE74AD" w:rsidRDefault="00CE74AD" w:rsidP="008F18D7">
            <w:pPr>
              <w:rPr>
                <w:rFonts w:ascii="Arial" w:hAnsi="Arial" w:cs="Arial"/>
                <w:sz w:val="24"/>
                <w:szCs w:val="24"/>
              </w:rPr>
            </w:pPr>
          </w:p>
        </w:tc>
      </w:tr>
      <w:tr w:rsidR="00A0183E" w14:paraId="4F433D18" w14:textId="77777777" w:rsidTr="00CE74AD">
        <w:tc>
          <w:tcPr>
            <w:tcW w:w="1271" w:type="dxa"/>
          </w:tcPr>
          <w:p w14:paraId="2328D5AB" w14:textId="541C87D5" w:rsidR="00A0183E" w:rsidRDefault="00A0183E" w:rsidP="008F18D7">
            <w:pPr>
              <w:rPr>
                <w:rFonts w:ascii="Arial" w:hAnsi="Arial" w:cs="Arial"/>
                <w:sz w:val="24"/>
                <w:szCs w:val="24"/>
              </w:rPr>
            </w:pPr>
            <w:r>
              <w:rPr>
                <w:rFonts w:ascii="Arial" w:hAnsi="Arial" w:cs="Arial"/>
                <w:sz w:val="24"/>
                <w:szCs w:val="24"/>
              </w:rPr>
              <w:t>11</w:t>
            </w:r>
          </w:p>
        </w:tc>
        <w:tc>
          <w:tcPr>
            <w:tcW w:w="7655" w:type="dxa"/>
          </w:tcPr>
          <w:p w14:paraId="3C080D84" w14:textId="77777777" w:rsidR="00A0183E" w:rsidRDefault="00A0183E" w:rsidP="008F18D7">
            <w:pPr>
              <w:rPr>
                <w:rFonts w:ascii="Arial" w:hAnsi="Arial" w:cs="Arial"/>
                <w:sz w:val="24"/>
                <w:szCs w:val="24"/>
              </w:rPr>
            </w:pPr>
            <w:bookmarkStart w:id="3" w:name="_Hlk184120491"/>
            <w:r w:rsidRPr="00871458">
              <w:rPr>
                <w:rFonts w:ascii="Arial" w:hAnsi="Arial" w:cs="Arial"/>
                <w:sz w:val="24"/>
                <w:szCs w:val="24"/>
              </w:rPr>
              <w:t xml:space="preserve">Member working group meetings during </w:t>
            </w:r>
            <w:proofErr w:type="gramStart"/>
            <w:r w:rsidRPr="00871458">
              <w:rPr>
                <w:rFonts w:ascii="Arial" w:hAnsi="Arial" w:cs="Arial"/>
                <w:sz w:val="24"/>
                <w:szCs w:val="24"/>
              </w:rPr>
              <w:t>tender</w:t>
            </w:r>
            <w:proofErr w:type="gramEnd"/>
            <w:r w:rsidRPr="00871458">
              <w:rPr>
                <w:rFonts w:ascii="Arial" w:hAnsi="Arial" w:cs="Arial"/>
                <w:sz w:val="24"/>
                <w:szCs w:val="24"/>
              </w:rPr>
              <w:t xml:space="preserve"> and mobilisation were useful, however needed more regular updates to the parent committee. Request that the Constitutional Working Group </w:t>
            </w:r>
            <w:r>
              <w:rPr>
                <w:rFonts w:ascii="Arial" w:hAnsi="Arial" w:cs="Arial"/>
                <w:sz w:val="24"/>
                <w:szCs w:val="24"/>
              </w:rPr>
              <w:t>agree a model set of Terms of Reference (TOR) as a guide, so that at the implementation of each new working group, full and clear TOR can be set</w:t>
            </w:r>
            <w:r w:rsidRPr="00871458">
              <w:rPr>
                <w:rFonts w:ascii="Arial" w:hAnsi="Arial" w:cs="Arial"/>
                <w:sz w:val="24"/>
                <w:szCs w:val="24"/>
              </w:rPr>
              <w:t>.</w:t>
            </w:r>
            <w:bookmarkEnd w:id="3"/>
          </w:p>
          <w:p w14:paraId="0D92AEA9" w14:textId="2092ACB5" w:rsidR="00A0183E" w:rsidRDefault="00A0183E" w:rsidP="008F18D7">
            <w:pPr>
              <w:rPr>
                <w:rFonts w:ascii="Arial" w:hAnsi="Arial" w:cs="Arial"/>
                <w:sz w:val="24"/>
                <w:szCs w:val="24"/>
              </w:rPr>
            </w:pPr>
          </w:p>
        </w:tc>
      </w:tr>
      <w:tr w:rsidR="00A0183E" w14:paraId="17129516" w14:textId="77777777" w:rsidTr="00CE74AD">
        <w:tc>
          <w:tcPr>
            <w:tcW w:w="1271" w:type="dxa"/>
          </w:tcPr>
          <w:p w14:paraId="7713DC2C" w14:textId="72D5C3F2" w:rsidR="00A0183E" w:rsidRDefault="00A0183E" w:rsidP="008F18D7">
            <w:pPr>
              <w:rPr>
                <w:rFonts w:ascii="Arial" w:hAnsi="Arial" w:cs="Arial"/>
                <w:sz w:val="24"/>
                <w:szCs w:val="24"/>
              </w:rPr>
            </w:pPr>
            <w:r>
              <w:rPr>
                <w:rFonts w:ascii="Arial" w:hAnsi="Arial" w:cs="Arial"/>
                <w:sz w:val="24"/>
                <w:szCs w:val="24"/>
              </w:rPr>
              <w:t>12</w:t>
            </w:r>
          </w:p>
        </w:tc>
        <w:tc>
          <w:tcPr>
            <w:tcW w:w="7655" w:type="dxa"/>
          </w:tcPr>
          <w:p w14:paraId="13CB9B73" w14:textId="77777777" w:rsidR="00A0183E" w:rsidRDefault="00A0183E" w:rsidP="008F18D7">
            <w:pPr>
              <w:rPr>
                <w:rFonts w:ascii="Arial" w:hAnsi="Arial" w:cs="Arial"/>
                <w:sz w:val="24"/>
                <w:szCs w:val="24"/>
              </w:rPr>
            </w:pPr>
            <w:r>
              <w:rPr>
                <w:rFonts w:ascii="Arial" w:hAnsi="Arial" w:cs="Arial"/>
                <w:sz w:val="24"/>
                <w:szCs w:val="24"/>
              </w:rPr>
              <w:t xml:space="preserve">Adequate </w:t>
            </w:r>
            <w:r w:rsidRPr="00871458">
              <w:rPr>
                <w:rFonts w:ascii="Arial" w:hAnsi="Arial" w:cs="Arial"/>
                <w:sz w:val="24"/>
                <w:szCs w:val="24"/>
              </w:rPr>
              <w:t>officer resourcing should be put in place at the outset so that SBC are prepared for any worst-case scenario situation</w:t>
            </w:r>
            <w:r>
              <w:rPr>
                <w:rFonts w:ascii="Arial" w:hAnsi="Arial" w:cs="Arial"/>
                <w:sz w:val="24"/>
                <w:szCs w:val="24"/>
              </w:rPr>
              <w:t>.</w:t>
            </w:r>
          </w:p>
          <w:p w14:paraId="64972FD3" w14:textId="4BA72A01" w:rsidR="00A0183E" w:rsidRDefault="00A0183E" w:rsidP="008F18D7">
            <w:pPr>
              <w:rPr>
                <w:rFonts w:ascii="Arial" w:hAnsi="Arial" w:cs="Arial"/>
                <w:sz w:val="24"/>
                <w:szCs w:val="24"/>
              </w:rPr>
            </w:pPr>
          </w:p>
        </w:tc>
      </w:tr>
      <w:tr w:rsidR="00A0183E" w14:paraId="0DCF7E21" w14:textId="77777777" w:rsidTr="00CE74AD">
        <w:tc>
          <w:tcPr>
            <w:tcW w:w="1271" w:type="dxa"/>
          </w:tcPr>
          <w:p w14:paraId="58BD14AD" w14:textId="3FA91003" w:rsidR="00A0183E" w:rsidRDefault="00A0183E" w:rsidP="008F18D7">
            <w:pPr>
              <w:rPr>
                <w:rFonts w:ascii="Arial" w:hAnsi="Arial" w:cs="Arial"/>
                <w:sz w:val="24"/>
                <w:szCs w:val="24"/>
              </w:rPr>
            </w:pPr>
            <w:r>
              <w:rPr>
                <w:rFonts w:ascii="Arial" w:hAnsi="Arial" w:cs="Arial"/>
                <w:sz w:val="24"/>
                <w:szCs w:val="24"/>
              </w:rPr>
              <w:lastRenderedPageBreak/>
              <w:t>13</w:t>
            </w:r>
          </w:p>
        </w:tc>
        <w:tc>
          <w:tcPr>
            <w:tcW w:w="7655" w:type="dxa"/>
          </w:tcPr>
          <w:p w14:paraId="679C76B5" w14:textId="307AE118" w:rsidR="00A0183E" w:rsidRDefault="00A0183E" w:rsidP="008F18D7">
            <w:pPr>
              <w:rPr>
                <w:rFonts w:ascii="Arial" w:hAnsi="Arial" w:cs="Arial"/>
                <w:sz w:val="24"/>
                <w:szCs w:val="24"/>
              </w:rPr>
            </w:pPr>
            <w:bookmarkStart w:id="4" w:name="_Hlk184120599"/>
            <w:r>
              <w:rPr>
                <w:rFonts w:ascii="Arial" w:hAnsi="Arial" w:cs="Arial"/>
                <w:sz w:val="24"/>
                <w:szCs w:val="24"/>
              </w:rPr>
              <w:t>I</w:t>
            </w:r>
            <w:r w:rsidRPr="00871458">
              <w:rPr>
                <w:rFonts w:ascii="Arial" w:hAnsi="Arial" w:cs="Arial"/>
                <w:sz w:val="24"/>
                <w:szCs w:val="24"/>
              </w:rPr>
              <w:t xml:space="preserve">f it becomes apparent that a service is going to change significantly, the responsible Service Committee should </w:t>
            </w:r>
            <w:r>
              <w:rPr>
                <w:rFonts w:ascii="Arial" w:hAnsi="Arial" w:cs="Arial"/>
                <w:sz w:val="24"/>
                <w:szCs w:val="24"/>
              </w:rPr>
              <w:t xml:space="preserve">consider </w:t>
            </w:r>
            <w:r w:rsidRPr="00871458">
              <w:rPr>
                <w:rFonts w:ascii="Arial" w:hAnsi="Arial" w:cs="Arial"/>
                <w:sz w:val="24"/>
                <w:szCs w:val="24"/>
              </w:rPr>
              <w:t>call</w:t>
            </w:r>
            <w:r>
              <w:rPr>
                <w:rFonts w:ascii="Arial" w:hAnsi="Arial" w:cs="Arial"/>
                <w:sz w:val="24"/>
                <w:szCs w:val="24"/>
              </w:rPr>
              <w:t>ing</w:t>
            </w:r>
            <w:r w:rsidRPr="00871458">
              <w:rPr>
                <w:rFonts w:ascii="Arial" w:hAnsi="Arial" w:cs="Arial"/>
                <w:sz w:val="24"/>
                <w:szCs w:val="24"/>
              </w:rPr>
              <w:t xml:space="preserve"> it in for scrutiny, even if it is late in the day. To assist with this, the mechanism for Service Committees to scrutinise should be clarified</w:t>
            </w:r>
            <w:bookmarkEnd w:id="4"/>
            <w:r w:rsidR="007E73AD">
              <w:rPr>
                <w:rFonts w:ascii="Arial" w:hAnsi="Arial" w:cs="Arial"/>
                <w:sz w:val="24"/>
                <w:szCs w:val="24"/>
              </w:rPr>
              <w:t xml:space="preserve"> </w:t>
            </w:r>
            <w:r w:rsidR="007E73AD" w:rsidRPr="004A4E44">
              <w:rPr>
                <w:rFonts w:ascii="Arial" w:hAnsi="Arial" w:cs="Arial"/>
                <w:sz w:val="24"/>
                <w:szCs w:val="24"/>
              </w:rPr>
              <w:t xml:space="preserve">and a recommendation </w:t>
            </w:r>
            <w:r w:rsidR="00C10D95" w:rsidRPr="004A4E44">
              <w:rPr>
                <w:rFonts w:ascii="Arial" w:hAnsi="Arial" w:cs="Arial"/>
                <w:sz w:val="24"/>
                <w:szCs w:val="24"/>
              </w:rPr>
              <w:t xml:space="preserve">should be </w:t>
            </w:r>
            <w:r w:rsidR="007E73AD" w:rsidRPr="004A4E44">
              <w:rPr>
                <w:rFonts w:ascii="Arial" w:hAnsi="Arial" w:cs="Arial"/>
                <w:sz w:val="24"/>
                <w:szCs w:val="24"/>
              </w:rPr>
              <w:t xml:space="preserve">made to the Member Development Working Group to provide ongoing training </w:t>
            </w:r>
            <w:r w:rsidR="00C10D95" w:rsidRPr="004A4E44">
              <w:rPr>
                <w:rFonts w:ascii="Arial" w:hAnsi="Arial" w:cs="Arial"/>
                <w:sz w:val="24"/>
                <w:szCs w:val="24"/>
              </w:rPr>
              <w:t xml:space="preserve">for Members </w:t>
            </w:r>
            <w:r w:rsidR="007E73AD" w:rsidRPr="004A4E44">
              <w:rPr>
                <w:rFonts w:ascii="Arial" w:hAnsi="Arial" w:cs="Arial"/>
                <w:sz w:val="24"/>
                <w:szCs w:val="24"/>
              </w:rPr>
              <w:t xml:space="preserve">on scrutiny </w:t>
            </w:r>
            <w:r w:rsidR="00C10D95" w:rsidRPr="004A4E44">
              <w:rPr>
                <w:rFonts w:ascii="Arial" w:hAnsi="Arial" w:cs="Arial"/>
                <w:sz w:val="24"/>
                <w:szCs w:val="24"/>
              </w:rPr>
              <w:t xml:space="preserve">as </w:t>
            </w:r>
            <w:r w:rsidR="00D205FC" w:rsidRPr="004A4E44">
              <w:rPr>
                <w:rFonts w:ascii="Arial" w:hAnsi="Arial" w:cs="Arial"/>
                <w:sz w:val="24"/>
                <w:szCs w:val="24"/>
              </w:rPr>
              <w:t xml:space="preserve">a </w:t>
            </w:r>
            <w:r w:rsidR="00C10D95" w:rsidRPr="004A4E44">
              <w:rPr>
                <w:rFonts w:ascii="Arial" w:hAnsi="Arial" w:cs="Arial"/>
                <w:sz w:val="24"/>
                <w:szCs w:val="24"/>
              </w:rPr>
              <w:t>governance</w:t>
            </w:r>
            <w:r w:rsidR="00D205FC" w:rsidRPr="004A4E44">
              <w:rPr>
                <w:rFonts w:ascii="Arial" w:hAnsi="Arial" w:cs="Arial"/>
                <w:sz w:val="24"/>
                <w:szCs w:val="24"/>
              </w:rPr>
              <w:t xml:space="preserve"> mechanism in the committee system.</w:t>
            </w:r>
          </w:p>
          <w:p w14:paraId="05A7B4CB" w14:textId="39AA3A4E" w:rsidR="00A0183E" w:rsidRDefault="00A0183E" w:rsidP="008F18D7">
            <w:pPr>
              <w:rPr>
                <w:rFonts w:ascii="Arial" w:hAnsi="Arial" w:cs="Arial"/>
                <w:sz w:val="24"/>
                <w:szCs w:val="24"/>
              </w:rPr>
            </w:pPr>
          </w:p>
        </w:tc>
      </w:tr>
      <w:tr w:rsidR="00A0183E" w14:paraId="598CFF89" w14:textId="77777777" w:rsidTr="00CE74AD">
        <w:tc>
          <w:tcPr>
            <w:tcW w:w="1271" w:type="dxa"/>
          </w:tcPr>
          <w:p w14:paraId="67B0F106" w14:textId="1322541E" w:rsidR="00A0183E" w:rsidRDefault="00A0183E" w:rsidP="008F18D7">
            <w:pPr>
              <w:rPr>
                <w:rFonts w:ascii="Arial" w:hAnsi="Arial" w:cs="Arial"/>
                <w:sz w:val="24"/>
                <w:szCs w:val="24"/>
              </w:rPr>
            </w:pPr>
            <w:r>
              <w:rPr>
                <w:rFonts w:ascii="Arial" w:hAnsi="Arial" w:cs="Arial"/>
                <w:sz w:val="24"/>
                <w:szCs w:val="24"/>
              </w:rPr>
              <w:t>14</w:t>
            </w:r>
          </w:p>
        </w:tc>
        <w:tc>
          <w:tcPr>
            <w:tcW w:w="7655" w:type="dxa"/>
          </w:tcPr>
          <w:p w14:paraId="4F8FC8A3" w14:textId="77777777" w:rsidR="00A0183E" w:rsidRDefault="00A0183E" w:rsidP="008F18D7">
            <w:pPr>
              <w:rPr>
                <w:rFonts w:ascii="Arial" w:hAnsi="Arial" w:cs="Arial"/>
                <w:sz w:val="24"/>
                <w:szCs w:val="24"/>
              </w:rPr>
            </w:pPr>
            <w:bookmarkStart w:id="5" w:name="_Hlk184120656"/>
            <w:r>
              <w:rPr>
                <w:rFonts w:ascii="Arial" w:hAnsi="Arial" w:cs="Arial"/>
                <w:sz w:val="24"/>
                <w:szCs w:val="24"/>
              </w:rPr>
              <w:t>A</w:t>
            </w:r>
            <w:r w:rsidRPr="00871458">
              <w:rPr>
                <w:rFonts w:ascii="Arial" w:hAnsi="Arial" w:cs="Arial"/>
                <w:sz w:val="24"/>
                <w:szCs w:val="24"/>
              </w:rPr>
              <w:t xml:space="preserve">s a matter of course when working on a new tender, </w:t>
            </w:r>
            <w:r>
              <w:rPr>
                <w:rFonts w:ascii="Arial" w:hAnsi="Arial" w:cs="Arial"/>
                <w:sz w:val="24"/>
                <w:szCs w:val="24"/>
              </w:rPr>
              <w:t>learnings</w:t>
            </w:r>
            <w:r w:rsidRPr="00871458">
              <w:rPr>
                <w:rFonts w:ascii="Arial" w:hAnsi="Arial" w:cs="Arial"/>
                <w:sz w:val="24"/>
                <w:szCs w:val="24"/>
              </w:rPr>
              <w:t xml:space="preserve"> from scrutiny reviews and project evaluations from the previous contract, should be available to review. </w:t>
            </w:r>
            <w:bookmarkEnd w:id="5"/>
          </w:p>
          <w:p w14:paraId="781505D0" w14:textId="32C53990" w:rsidR="00A0183E" w:rsidRDefault="00A0183E" w:rsidP="008F18D7">
            <w:pPr>
              <w:rPr>
                <w:rFonts w:ascii="Arial" w:hAnsi="Arial" w:cs="Arial"/>
                <w:sz w:val="24"/>
                <w:szCs w:val="24"/>
              </w:rPr>
            </w:pPr>
          </w:p>
        </w:tc>
      </w:tr>
      <w:tr w:rsidR="00A0183E" w14:paraId="603AADF8" w14:textId="77777777" w:rsidTr="00CE74AD">
        <w:tc>
          <w:tcPr>
            <w:tcW w:w="1271" w:type="dxa"/>
          </w:tcPr>
          <w:p w14:paraId="568191FF" w14:textId="0A1437A7" w:rsidR="00A0183E" w:rsidRDefault="00A0183E" w:rsidP="008F18D7">
            <w:pPr>
              <w:rPr>
                <w:rFonts w:ascii="Arial" w:hAnsi="Arial" w:cs="Arial"/>
                <w:sz w:val="24"/>
                <w:szCs w:val="24"/>
              </w:rPr>
            </w:pPr>
            <w:r>
              <w:rPr>
                <w:rFonts w:ascii="Arial" w:hAnsi="Arial" w:cs="Arial"/>
                <w:sz w:val="24"/>
                <w:szCs w:val="24"/>
              </w:rPr>
              <w:t>15</w:t>
            </w:r>
          </w:p>
        </w:tc>
        <w:tc>
          <w:tcPr>
            <w:tcW w:w="7655" w:type="dxa"/>
          </w:tcPr>
          <w:p w14:paraId="5A645314" w14:textId="77777777" w:rsidR="00A0183E" w:rsidRDefault="00A0183E" w:rsidP="008F18D7">
            <w:pPr>
              <w:rPr>
                <w:rFonts w:ascii="Arial" w:hAnsi="Arial" w:cs="Arial"/>
                <w:sz w:val="24"/>
                <w:szCs w:val="24"/>
              </w:rPr>
            </w:pPr>
            <w:r>
              <w:rPr>
                <w:rFonts w:ascii="Arial" w:hAnsi="Arial" w:cs="Arial"/>
                <w:sz w:val="24"/>
                <w:szCs w:val="24"/>
              </w:rPr>
              <w:t>T</w:t>
            </w:r>
            <w:r w:rsidRPr="00A0183E">
              <w:rPr>
                <w:rFonts w:ascii="Arial" w:hAnsi="Arial" w:cs="Arial"/>
                <w:sz w:val="24"/>
                <w:szCs w:val="24"/>
              </w:rPr>
              <w:t>he process for councillors to report issues to officers should be made clear from the outset of a new contract to ensure that duplicate reports are not made to multiple officers.</w:t>
            </w:r>
          </w:p>
          <w:p w14:paraId="568C5235" w14:textId="7555DDDE" w:rsidR="00A0183E" w:rsidRDefault="00A0183E" w:rsidP="008F18D7">
            <w:pPr>
              <w:rPr>
                <w:rFonts w:ascii="Arial" w:hAnsi="Arial" w:cs="Arial"/>
                <w:sz w:val="24"/>
                <w:szCs w:val="24"/>
              </w:rPr>
            </w:pPr>
          </w:p>
        </w:tc>
      </w:tr>
      <w:tr w:rsidR="00A0183E" w14:paraId="06548F3C" w14:textId="77777777" w:rsidTr="00CE74AD">
        <w:tc>
          <w:tcPr>
            <w:tcW w:w="1271" w:type="dxa"/>
          </w:tcPr>
          <w:p w14:paraId="4C046129" w14:textId="355AAB85" w:rsidR="00A0183E" w:rsidRDefault="00A0183E" w:rsidP="008F18D7">
            <w:pPr>
              <w:rPr>
                <w:rFonts w:ascii="Arial" w:hAnsi="Arial" w:cs="Arial"/>
                <w:sz w:val="24"/>
                <w:szCs w:val="24"/>
              </w:rPr>
            </w:pPr>
            <w:r>
              <w:rPr>
                <w:rFonts w:ascii="Arial" w:hAnsi="Arial" w:cs="Arial"/>
                <w:sz w:val="24"/>
                <w:szCs w:val="24"/>
              </w:rPr>
              <w:t>16</w:t>
            </w:r>
          </w:p>
        </w:tc>
        <w:tc>
          <w:tcPr>
            <w:tcW w:w="7655" w:type="dxa"/>
          </w:tcPr>
          <w:p w14:paraId="442E39C9" w14:textId="3C6BBAE6" w:rsidR="00A0183E" w:rsidRDefault="00A0183E" w:rsidP="008F18D7">
            <w:pPr>
              <w:rPr>
                <w:rFonts w:ascii="Arial" w:hAnsi="Arial" w:cs="Arial"/>
                <w:sz w:val="24"/>
                <w:szCs w:val="24"/>
              </w:rPr>
            </w:pPr>
            <w:r w:rsidRPr="00A0183E">
              <w:rPr>
                <w:rFonts w:ascii="Arial" w:hAnsi="Arial" w:cs="Arial"/>
                <w:sz w:val="24"/>
                <w:szCs w:val="24"/>
              </w:rPr>
              <w:t>For future major projects, ensure that scrutiny is carried out in the preparation and implementation phases to assess risk and in advance put precautionary additional resource in place in readiness for the unknown.</w:t>
            </w:r>
          </w:p>
          <w:p w14:paraId="3680CD66" w14:textId="16A08A26" w:rsidR="00A0183E" w:rsidRDefault="00A0183E" w:rsidP="008F18D7">
            <w:pPr>
              <w:rPr>
                <w:rFonts w:ascii="Arial" w:hAnsi="Arial" w:cs="Arial"/>
                <w:sz w:val="24"/>
                <w:szCs w:val="24"/>
              </w:rPr>
            </w:pPr>
          </w:p>
        </w:tc>
      </w:tr>
      <w:tr w:rsidR="00A0183E" w14:paraId="717B6F25" w14:textId="77777777" w:rsidTr="00CE74AD">
        <w:tc>
          <w:tcPr>
            <w:tcW w:w="1271" w:type="dxa"/>
          </w:tcPr>
          <w:p w14:paraId="2B5048D2" w14:textId="3C6632A3" w:rsidR="00A0183E" w:rsidRDefault="00A0183E" w:rsidP="008F18D7">
            <w:pPr>
              <w:rPr>
                <w:rFonts w:ascii="Arial" w:hAnsi="Arial" w:cs="Arial"/>
                <w:sz w:val="24"/>
                <w:szCs w:val="24"/>
              </w:rPr>
            </w:pPr>
            <w:r>
              <w:rPr>
                <w:rFonts w:ascii="Arial" w:hAnsi="Arial" w:cs="Arial"/>
                <w:sz w:val="24"/>
                <w:szCs w:val="24"/>
              </w:rPr>
              <w:t>17</w:t>
            </w:r>
          </w:p>
        </w:tc>
        <w:tc>
          <w:tcPr>
            <w:tcW w:w="7655" w:type="dxa"/>
          </w:tcPr>
          <w:p w14:paraId="3CBB7396" w14:textId="77777777" w:rsidR="00A0183E" w:rsidRDefault="00A0183E" w:rsidP="008F18D7">
            <w:pPr>
              <w:rPr>
                <w:rFonts w:ascii="Arial" w:hAnsi="Arial" w:cs="Arial"/>
                <w:sz w:val="24"/>
                <w:szCs w:val="24"/>
              </w:rPr>
            </w:pPr>
            <w:r w:rsidRPr="00A0183E">
              <w:rPr>
                <w:rFonts w:ascii="Arial" w:hAnsi="Arial" w:cs="Arial"/>
                <w:sz w:val="24"/>
                <w:szCs w:val="24"/>
              </w:rPr>
              <w:t>Ensure the member/officer protocol covers working relationships in strategic meetings so that they are a safe space where officers and Members will have confidence there will not be a blame culture.</w:t>
            </w:r>
          </w:p>
          <w:p w14:paraId="2513539D" w14:textId="0C08EA71" w:rsidR="00A0183E" w:rsidRDefault="00A0183E" w:rsidP="008F18D7">
            <w:pPr>
              <w:rPr>
                <w:rFonts w:ascii="Arial" w:hAnsi="Arial" w:cs="Arial"/>
                <w:sz w:val="24"/>
                <w:szCs w:val="24"/>
              </w:rPr>
            </w:pPr>
          </w:p>
        </w:tc>
      </w:tr>
      <w:tr w:rsidR="00A0183E" w14:paraId="5567182A" w14:textId="77777777" w:rsidTr="00CE74AD">
        <w:tc>
          <w:tcPr>
            <w:tcW w:w="1271" w:type="dxa"/>
          </w:tcPr>
          <w:p w14:paraId="0AEF0042" w14:textId="6EBD0412" w:rsidR="00A0183E" w:rsidRDefault="00A0183E" w:rsidP="008F18D7">
            <w:pPr>
              <w:rPr>
                <w:rFonts w:ascii="Arial" w:hAnsi="Arial" w:cs="Arial"/>
                <w:sz w:val="24"/>
                <w:szCs w:val="24"/>
              </w:rPr>
            </w:pPr>
            <w:r>
              <w:rPr>
                <w:rFonts w:ascii="Arial" w:hAnsi="Arial" w:cs="Arial"/>
                <w:sz w:val="24"/>
                <w:szCs w:val="24"/>
              </w:rPr>
              <w:t>18</w:t>
            </w:r>
          </w:p>
        </w:tc>
        <w:tc>
          <w:tcPr>
            <w:tcW w:w="7655" w:type="dxa"/>
          </w:tcPr>
          <w:p w14:paraId="12032584" w14:textId="77777777" w:rsidR="00A0183E" w:rsidRDefault="00A0183E" w:rsidP="008F18D7">
            <w:pPr>
              <w:rPr>
                <w:rFonts w:ascii="Arial" w:hAnsi="Arial" w:cs="Arial"/>
                <w:sz w:val="24"/>
                <w:szCs w:val="24"/>
              </w:rPr>
            </w:pPr>
            <w:r w:rsidRPr="00A0183E">
              <w:rPr>
                <w:rFonts w:ascii="Arial" w:hAnsi="Arial" w:cs="Arial"/>
                <w:sz w:val="24"/>
                <w:szCs w:val="24"/>
              </w:rPr>
              <w:t xml:space="preserve">Consider holding briefings twice a year for all councillors where information can be shared on what teams throughout the council are working on and have </w:t>
            </w:r>
            <w:proofErr w:type="gramStart"/>
            <w:r w:rsidRPr="00A0183E">
              <w:rPr>
                <w:rFonts w:ascii="Arial" w:hAnsi="Arial" w:cs="Arial"/>
                <w:sz w:val="24"/>
                <w:szCs w:val="24"/>
              </w:rPr>
              <w:t>planned for the future</w:t>
            </w:r>
            <w:proofErr w:type="gramEnd"/>
            <w:r w:rsidRPr="00A0183E">
              <w:rPr>
                <w:rFonts w:ascii="Arial" w:hAnsi="Arial" w:cs="Arial"/>
                <w:sz w:val="24"/>
                <w:szCs w:val="24"/>
              </w:rPr>
              <w:t xml:space="preserve"> to assist with improving member/officer working relationships.</w:t>
            </w:r>
          </w:p>
          <w:p w14:paraId="7C7FFF03" w14:textId="567FB2B8" w:rsidR="00A0183E" w:rsidRDefault="00A0183E" w:rsidP="008F18D7">
            <w:pPr>
              <w:rPr>
                <w:rFonts w:ascii="Arial" w:hAnsi="Arial" w:cs="Arial"/>
                <w:sz w:val="24"/>
                <w:szCs w:val="24"/>
              </w:rPr>
            </w:pPr>
          </w:p>
        </w:tc>
      </w:tr>
      <w:tr w:rsidR="00A0183E" w14:paraId="711687B1" w14:textId="77777777" w:rsidTr="00CE74AD">
        <w:tc>
          <w:tcPr>
            <w:tcW w:w="1271" w:type="dxa"/>
          </w:tcPr>
          <w:p w14:paraId="42AE08E1" w14:textId="580AEE77" w:rsidR="00A0183E" w:rsidRDefault="00A0183E" w:rsidP="008F18D7">
            <w:pPr>
              <w:rPr>
                <w:rFonts w:ascii="Arial" w:hAnsi="Arial" w:cs="Arial"/>
                <w:sz w:val="24"/>
                <w:szCs w:val="24"/>
              </w:rPr>
            </w:pPr>
            <w:r>
              <w:rPr>
                <w:rFonts w:ascii="Arial" w:hAnsi="Arial" w:cs="Arial"/>
                <w:sz w:val="24"/>
                <w:szCs w:val="24"/>
              </w:rPr>
              <w:t>19</w:t>
            </w:r>
          </w:p>
        </w:tc>
        <w:tc>
          <w:tcPr>
            <w:tcW w:w="7655" w:type="dxa"/>
          </w:tcPr>
          <w:p w14:paraId="5B033D7A" w14:textId="77777777" w:rsidR="00A0183E" w:rsidRDefault="00A0183E" w:rsidP="008F18D7">
            <w:pPr>
              <w:rPr>
                <w:rFonts w:ascii="Arial" w:hAnsi="Arial" w:cs="Arial"/>
                <w:sz w:val="24"/>
                <w:szCs w:val="24"/>
              </w:rPr>
            </w:pPr>
            <w:r w:rsidRPr="00A0183E">
              <w:rPr>
                <w:rFonts w:ascii="Arial" w:hAnsi="Arial" w:cs="Arial"/>
                <w:sz w:val="24"/>
                <w:szCs w:val="24"/>
              </w:rPr>
              <w:t xml:space="preserve">Clarity on decision making processes under the Committee system should be established so it is clear where decisions are made on operational solutions in any future </w:t>
            </w:r>
            <w:proofErr w:type="gramStart"/>
            <w:r w:rsidRPr="00A0183E">
              <w:rPr>
                <w:rFonts w:ascii="Arial" w:hAnsi="Arial" w:cs="Arial"/>
                <w:sz w:val="24"/>
                <w:szCs w:val="24"/>
              </w:rPr>
              <w:t>emergency situation</w:t>
            </w:r>
            <w:proofErr w:type="gramEnd"/>
            <w:r w:rsidRPr="00A0183E">
              <w:rPr>
                <w:rFonts w:ascii="Arial" w:hAnsi="Arial" w:cs="Arial"/>
                <w:sz w:val="24"/>
                <w:szCs w:val="24"/>
              </w:rPr>
              <w:t>.</w:t>
            </w:r>
          </w:p>
          <w:p w14:paraId="53E7723E" w14:textId="2B87B7E8" w:rsidR="00A0183E" w:rsidRDefault="00A0183E" w:rsidP="008F18D7">
            <w:pPr>
              <w:rPr>
                <w:rFonts w:ascii="Arial" w:hAnsi="Arial" w:cs="Arial"/>
                <w:sz w:val="24"/>
                <w:szCs w:val="24"/>
              </w:rPr>
            </w:pPr>
          </w:p>
        </w:tc>
      </w:tr>
      <w:tr w:rsidR="00A0183E" w14:paraId="370DA6B3" w14:textId="77777777" w:rsidTr="00CE74AD">
        <w:tc>
          <w:tcPr>
            <w:tcW w:w="1271" w:type="dxa"/>
          </w:tcPr>
          <w:p w14:paraId="57BF1AA1" w14:textId="4876E9D4" w:rsidR="00A0183E" w:rsidRDefault="00A0183E" w:rsidP="008F18D7">
            <w:pPr>
              <w:rPr>
                <w:rFonts w:ascii="Arial" w:hAnsi="Arial" w:cs="Arial"/>
                <w:sz w:val="24"/>
                <w:szCs w:val="24"/>
              </w:rPr>
            </w:pPr>
            <w:r>
              <w:rPr>
                <w:rFonts w:ascii="Arial" w:hAnsi="Arial" w:cs="Arial"/>
                <w:sz w:val="24"/>
                <w:szCs w:val="24"/>
              </w:rPr>
              <w:t>20</w:t>
            </w:r>
          </w:p>
        </w:tc>
        <w:tc>
          <w:tcPr>
            <w:tcW w:w="7655" w:type="dxa"/>
          </w:tcPr>
          <w:p w14:paraId="70613CCE" w14:textId="77777777" w:rsidR="00A0183E" w:rsidRDefault="00A0183E" w:rsidP="008F18D7">
            <w:pPr>
              <w:rPr>
                <w:rFonts w:ascii="Arial" w:hAnsi="Arial" w:cs="Arial"/>
                <w:sz w:val="24"/>
                <w:szCs w:val="24"/>
              </w:rPr>
            </w:pPr>
            <w:r>
              <w:rPr>
                <w:rFonts w:ascii="Arial" w:hAnsi="Arial" w:cs="Arial"/>
                <w:sz w:val="24"/>
                <w:szCs w:val="24"/>
              </w:rPr>
              <w:t>R</w:t>
            </w:r>
            <w:r w:rsidRPr="00A0183E">
              <w:rPr>
                <w:rFonts w:ascii="Arial" w:hAnsi="Arial" w:cs="Arial"/>
                <w:sz w:val="24"/>
                <w:szCs w:val="24"/>
              </w:rPr>
              <w:t>egular member update meetings have been useful and should be implemented if there are similar ongoing incidents in the future.</w:t>
            </w:r>
          </w:p>
          <w:p w14:paraId="5976A10F" w14:textId="0128569F" w:rsidR="00A0183E" w:rsidRDefault="00A0183E" w:rsidP="008F18D7">
            <w:pPr>
              <w:rPr>
                <w:rFonts w:ascii="Arial" w:hAnsi="Arial" w:cs="Arial"/>
                <w:sz w:val="24"/>
                <w:szCs w:val="24"/>
              </w:rPr>
            </w:pPr>
          </w:p>
        </w:tc>
      </w:tr>
      <w:tr w:rsidR="00A0183E" w14:paraId="6E2805DE" w14:textId="77777777" w:rsidTr="00CE74AD">
        <w:tc>
          <w:tcPr>
            <w:tcW w:w="1271" w:type="dxa"/>
          </w:tcPr>
          <w:p w14:paraId="2F15B787" w14:textId="3D9AE601" w:rsidR="00A0183E" w:rsidRDefault="00A0183E" w:rsidP="008F18D7">
            <w:pPr>
              <w:rPr>
                <w:rFonts w:ascii="Arial" w:hAnsi="Arial" w:cs="Arial"/>
                <w:sz w:val="24"/>
                <w:szCs w:val="24"/>
              </w:rPr>
            </w:pPr>
            <w:r>
              <w:rPr>
                <w:rFonts w:ascii="Arial" w:hAnsi="Arial" w:cs="Arial"/>
                <w:sz w:val="24"/>
                <w:szCs w:val="24"/>
              </w:rPr>
              <w:t>21</w:t>
            </w:r>
          </w:p>
        </w:tc>
        <w:tc>
          <w:tcPr>
            <w:tcW w:w="7655" w:type="dxa"/>
          </w:tcPr>
          <w:p w14:paraId="46C2301F" w14:textId="77777777" w:rsidR="00A0183E" w:rsidRDefault="00A0183E" w:rsidP="008F18D7">
            <w:pPr>
              <w:rPr>
                <w:rFonts w:ascii="Arial" w:hAnsi="Arial" w:cs="Arial"/>
                <w:sz w:val="24"/>
                <w:szCs w:val="24"/>
              </w:rPr>
            </w:pPr>
            <w:r>
              <w:rPr>
                <w:rFonts w:ascii="Arial" w:hAnsi="Arial" w:cs="Arial"/>
                <w:sz w:val="24"/>
                <w:szCs w:val="24"/>
              </w:rPr>
              <w:t>A</w:t>
            </w:r>
            <w:r w:rsidRPr="00A0183E">
              <w:rPr>
                <w:rFonts w:ascii="Arial" w:hAnsi="Arial" w:cs="Arial"/>
                <w:sz w:val="24"/>
                <w:szCs w:val="24"/>
              </w:rPr>
              <w:t>nnual contract updates to be presented at the Environment &amp; Climate Change Committee moving forwards.</w:t>
            </w:r>
          </w:p>
          <w:p w14:paraId="4BD965ED" w14:textId="78BB6C22" w:rsidR="00A0183E" w:rsidRDefault="00A0183E" w:rsidP="008F18D7">
            <w:pPr>
              <w:rPr>
                <w:rFonts w:ascii="Arial" w:hAnsi="Arial" w:cs="Arial"/>
                <w:sz w:val="24"/>
                <w:szCs w:val="24"/>
              </w:rPr>
            </w:pPr>
          </w:p>
        </w:tc>
      </w:tr>
      <w:tr w:rsidR="00A0183E" w14:paraId="61082756" w14:textId="77777777" w:rsidTr="00CE74AD">
        <w:tc>
          <w:tcPr>
            <w:tcW w:w="1271" w:type="dxa"/>
          </w:tcPr>
          <w:p w14:paraId="2580B9B8" w14:textId="0B381093" w:rsidR="00A0183E" w:rsidRDefault="00A0183E" w:rsidP="008F18D7">
            <w:pPr>
              <w:rPr>
                <w:rFonts w:ascii="Arial" w:hAnsi="Arial" w:cs="Arial"/>
                <w:sz w:val="24"/>
                <w:szCs w:val="24"/>
              </w:rPr>
            </w:pPr>
            <w:r>
              <w:rPr>
                <w:rFonts w:ascii="Arial" w:hAnsi="Arial" w:cs="Arial"/>
                <w:sz w:val="24"/>
                <w:szCs w:val="24"/>
              </w:rPr>
              <w:t>22</w:t>
            </w:r>
          </w:p>
        </w:tc>
        <w:tc>
          <w:tcPr>
            <w:tcW w:w="7655" w:type="dxa"/>
          </w:tcPr>
          <w:p w14:paraId="44EB6D17" w14:textId="77777777" w:rsidR="00A0183E" w:rsidRDefault="00A0183E" w:rsidP="008F18D7">
            <w:pPr>
              <w:rPr>
                <w:rFonts w:ascii="Arial" w:hAnsi="Arial" w:cs="Arial"/>
                <w:sz w:val="24"/>
                <w:szCs w:val="24"/>
              </w:rPr>
            </w:pPr>
            <w:r>
              <w:rPr>
                <w:rFonts w:ascii="Arial" w:hAnsi="Arial" w:cs="Arial"/>
                <w:sz w:val="24"/>
                <w:szCs w:val="24"/>
              </w:rPr>
              <w:t>A</w:t>
            </w:r>
            <w:r w:rsidRPr="00A0183E">
              <w:rPr>
                <w:rFonts w:ascii="Arial" w:hAnsi="Arial" w:cs="Arial"/>
                <w:sz w:val="24"/>
                <w:szCs w:val="24"/>
              </w:rPr>
              <w:t xml:space="preserve"> request for training on data interpretation to be referred to the Member Development Working Group. Any data provided for members should be clearly presented in an easily understandable format.</w:t>
            </w:r>
          </w:p>
          <w:p w14:paraId="3A72CBFB" w14:textId="59DA4403" w:rsidR="00A0183E" w:rsidRDefault="00A0183E" w:rsidP="008F18D7">
            <w:pPr>
              <w:rPr>
                <w:rFonts w:ascii="Arial" w:hAnsi="Arial" w:cs="Arial"/>
                <w:sz w:val="24"/>
                <w:szCs w:val="24"/>
              </w:rPr>
            </w:pPr>
          </w:p>
        </w:tc>
      </w:tr>
      <w:tr w:rsidR="00A0183E" w14:paraId="2E516FAB" w14:textId="77777777" w:rsidTr="00CE74AD">
        <w:tc>
          <w:tcPr>
            <w:tcW w:w="1271" w:type="dxa"/>
          </w:tcPr>
          <w:p w14:paraId="096B26FA" w14:textId="5D8B5387" w:rsidR="00A0183E" w:rsidRDefault="00A0183E" w:rsidP="008F18D7">
            <w:pPr>
              <w:rPr>
                <w:rFonts w:ascii="Arial" w:hAnsi="Arial" w:cs="Arial"/>
                <w:sz w:val="24"/>
                <w:szCs w:val="24"/>
              </w:rPr>
            </w:pPr>
            <w:r>
              <w:rPr>
                <w:rFonts w:ascii="Arial" w:hAnsi="Arial" w:cs="Arial"/>
                <w:sz w:val="24"/>
                <w:szCs w:val="24"/>
              </w:rPr>
              <w:t>23</w:t>
            </w:r>
          </w:p>
        </w:tc>
        <w:tc>
          <w:tcPr>
            <w:tcW w:w="7655" w:type="dxa"/>
          </w:tcPr>
          <w:p w14:paraId="1D3D0272" w14:textId="77777777" w:rsidR="00A0183E" w:rsidRDefault="00A0183E" w:rsidP="008F18D7">
            <w:pPr>
              <w:rPr>
                <w:rFonts w:ascii="Arial" w:hAnsi="Arial" w:cs="Arial"/>
                <w:sz w:val="24"/>
                <w:szCs w:val="24"/>
              </w:rPr>
            </w:pPr>
            <w:bookmarkStart w:id="6" w:name="_Hlk184124827"/>
            <w:r>
              <w:rPr>
                <w:rFonts w:ascii="Arial" w:hAnsi="Arial" w:cs="Arial"/>
                <w:sz w:val="24"/>
                <w:szCs w:val="24"/>
              </w:rPr>
              <w:t>E</w:t>
            </w:r>
            <w:r w:rsidRPr="00871458">
              <w:rPr>
                <w:rFonts w:ascii="Arial" w:hAnsi="Arial" w:cs="Arial"/>
                <w:sz w:val="24"/>
                <w:szCs w:val="24"/>
              </w:rPr>
              <w:t xml:space="preserve">nsure the </w:t>
            </w:r>
            <w:r>
              <w:rPr>
                <w:rFonts w:ascii="Arial" w:hAnsi="Arial" w:cs="Arial"/>
                <w:sz w:val="24"/>
                <w:szCs w:val="24"/>
              </w:rPr>
              <w:t>project communications plan</w:t>
            </w:r>
            <w:r w:rsidRPr="00871458">
              <w:rPr>
                <w:rFonts w:ascii="Arial" w:hAnsi="Arial" w:cs="Arial"/>
                <w:sz w:val="24"/>
                <w:szCs w:val="24"/>
              </w:rPr>
              <w:t xml:space="preserve"> considers major service changes and how to respond in periods of disruption, with </w:t>
            </w:r>
            <w:proofErr w:type="gramStart"/>
            <w:r w:rsidRPr="00871458">
              <w:rPr>
                <w:rFonts w:ascii="Arial" w:hAnsi="Arial" w:cs="Arial"/>
                <w:sz w:val="24"/>
                <w:szCs w:val="24"/>
              </w:rPr>
              <w:t>particular reference</w:t>
            </w:r>
            <w:proofErr w:type="gramEnd"/>
            <w:r w:rsidRPr="00871458">
              <w:rPr>
                <w:rFonts w:ascii="Arial" w:hAnsi="Arial" w:cs="Arial"/>
                <w:sz w:val="24"/>
                <w:szCs w:val="24"/>
              </w:rPr>
              <w:t xml:space="preserve"> to the use of social media.</w:t>
            </w:r>
            <w:bookmarkEnd w:id="6"/>
          </w:p>
          <w:p w14:paraId="400C2E1A" w14:textId="163436FD" w:rsidR="00A0183E" w:rsidRDefault="00A0183E" w:rsidP="008F18D7">
            <w:pPr>
              <w:rPr>
                <w:rFonts w:ascii="Arial" w:hAnsi="Arial" w:cs="Arial"/>
                <w:sz w:val="24"/>
                <w:szCs w:val="24"/>
              </w:rPr>
            </w:pPr>
          </w:p>
        </w:tc>
      </w:tr>
    </w:tbl>
    <w:p w14:paraId="07A3CFE0" w14:textId="77777777" w:rsidR="00F31B80" w:rsidRPr="00F31B80" w:rsidRDefault="00F31B80">
      <w:pPr>
        <w:rPr>
          <w:rFonts w:ascii="Arial" w:hAnsi="Arial" w:cs="Arial"/>
          <w:sz w:val="24"/>
          <w:szCs w:val="24"/>
        </w:rPr>
      </w:pPr>
    </w:p>
    <w:sectPr w:rsidR="00F31B80" w:rsidRPr="00F31B80" w:rsidSect="00390BE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FE"/>
    <w:rsid w:val="00054D1F"/>
    <w:rsid w:val="001D39BF"/>
    <w:rsid w:val="00257452"/>
    <w:rsid w:val="002C2611"/>
    <w:rsid w:val="003755FE"/>
    <w:rsid w:val="00384833"/>
    <w:rsid w:val="00390BE0"/>
    <w:rsid w:val="003A56E3"/>
    <w:rsid w:val="003B4FF2"/>
    <w:rsid w:val="0048343C"/>
    <w:rsid w:val="00495A05"/>
    <w:rsid w:val="004A4E44"/>
    <w:rsid w:val="004D5A97"/>
    <w:rsid w:val="007E73AD"/>
    <w:rsid w:val="00871458"/>
    <w:rsid w:val="008E6D8D"/>
    <w:rsid w:val="008F18D7"/>
    <w:rsid w:val="00907B01"/>
    <w:rsid w:val="009E4EA3"/>
    <w:rsid w:val="00A0183E"/>
    <w:rsid w:val="00B657BE"/>
    <w:rsid w:val="00C10D95"/>
    <w:rsid w:val="00CE53F0"/>
    <w:rsid w:val="00CE74AD"/>
    <w:rsid w:val="00D07E3F"/>
    <w:rsid w:val="00D205FC"/>
    <w:rsid w:val="00D544AB"/>
    <w:rsid w:val="00EB15E2"/>
    <w:rsid w:val="00F31B80"/>
    <w:rsid w:val="00F75DE2"/>
    <w:rsid w:val="00F8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8902"/>
  <w15:chartTrackingRefBased/>
  <w15:docId w15:val="{CB19BD34-53A2-4927-8493-74C32B0C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Dart</dc:creator>
  <cp:keywords/>
  <dc:description/>
  <cp:lastModifiedBy>Janet Dart</cp:lastModifiedBy>
  <cp:revision>7</cp:revision>
  <dcterms:created xsi:type="dcterms:W3CDTF">2024-12-05T15:13:00Z</dcterms:created>
  <dcterms:modified xsi:type="dcterms:W3CDTF">2025-01-16T10:22:00Z</dcterms:modified>
</cp:coreProperties>
</file>